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E0F5C" w14:textId="77777777" w:rsidR="003B5F0A" w:rsidRDefault="003B5F0A">
      <w:pPr>
        <w:jc w:val="center"/>
        <w:rPr>
          <w:b/>
        </w:rPr>
      </w:pPr>
    </w:p>
    <w:p w14:paraId="46001703" w14:textId="77777777" w:rsidR="003B5F0A" w:rsidRDefault="00000000">
      <w:pPr>
        <w:jc w:val="right"/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6D4E81F" wp14:editId="40D9E226">
            <wp:extent cx="1955981" cy="580644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5981" cy="5806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F98B9" w14:textId="77777777" w:rsidR="003B5F0A" w:rsidRDefault="003B5F0A">
      <w:pPr>
        <w:jc w:val="center"/>
      </w:pPr>
    </w:p>
    <w:p w14:paraId="1612A164" w14:textId="77777777" w:rsidR="003B5F0A" w:rsidRDefault="00000000">
      <w:pPr>
        <w:jc w:val="center"/>
      </w:pPr>
      <w:r>
        <w:t>COMUNICATO STAMPA</w:t>
      </w:r>
    </w:p>
    <w:p w14:paraId="63C624EF" w14:textId="77777777" w:rsidR="003B5F0A" w:rsidRDefault="00000000">
      <w:pPr>
        <w:jc w:val="center"/>
        <w:rPr>
          <w:b/>
        </w:rPr>
      </w:pPr>
      <w:r>
        <w:rPr>
          <w:b/>
        </w:rPr>
        <w:t>BILANCIO DI SOSTENIBILITÀ ITELYUM 2024</w:t>
      </w:r>
    </w:p>
    <w:p w14:paraId="4383DA16" w14:textId="77777777" w:rsidR="003B5F0A" w:rsidRDefault="00000000">
      <w:pPr>
        <w:jc w:val="center"/>
        <w:rPr>
          <w:b/>
        </w:rPr>
      </w:pPr>
      <w:r>
        <w:rPr>
          <w:b/>
        </w:rPr>
        <w:t xml:space="preserve">IL GRUPPO ITELYUM SPINGE I LIMITI DELLA CIRCOLARITÀ E GUIDA LA TRANSIZIONE DEL SISTEMA INDUSTRIALE </w:t>
      </w:r>
    </w:p>
    <w:p w14:paraId="34526219" w14:textId="77777777" w:rsidR="003B5F0A" w:rsidRDefault="00000000">
      <w:pPr>
        <w:jc w:val="center"/>
      </w:pPr>
      <w:r>
        <w:t>Oltre 500.000 tonnellate di CO</w:t>
      </w:r>
      <w:r>
        <w:rPr>
          <w:vertAlign w:val="subscript"/>
        </w:rPr>
        <w:t xml:space="preserve">2 </w:t>
      </w:r>
      <w:r>
        <w:t>evitate e investimenti strategici per accelerare la transizione green</w:t>
      </w:r>
    </w:p>
    <w:p w14:paraId="578A2655" w14:textId="77777777" w:rsidR="003B5F0A" w:rsidRDefault="00000000">
      <w:pPr>
        <w:jc w:val="both"/>
      </w:pPr>
      <w:r>
        <w:rPr>
          <w:i/>
        </w:rPr>
        <w:t>Milano, 19 giugno 2025</w:t>
      </w:r>
      <w:r>
        <w:t xml:space="preserve"> – </w:t>
      </w:r>
      <w:proofErr w:type="spellStart"/>
      <w:r>
        <w:t>Itelyum</w:t>
      </w:r>
      <w:proofErr w:type="spellEnd"/>
      <w:r>
        <w:t>, leader nella gestione sostenibile e nel riciclo dei rifiuti industriali, ha presentato il suo Bilancio di Sostenibilità 2024, che conferma il suo ruolo centrale come motore dell’economia circolare e come pilastro nella decarbonizzazione e nel recupero delle risorse idriche. In un contesto globale sempre più complesso e dinamico, il Gruppo conferma una crescita robusta e un impegno costante in ambito ambientale, sociale e di governance (ESG).</w:t>
      </w:r>
    </w:p>
    <w:p w14:paraId="69ED6F21" w14:textId="77777777" w:rsidR="003B5F0A" w:rsidRDefault="00000000">
      <w:pPr>
        <w:jc w:val="both"/>
      </w:pPr>
      <w:r>
        <w:t>Tra i principali highlights spiccano:</w:t>
      </w:r>
    </w:p>
    <w:p w14:paraId="54CD468A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t>516 migliaia di tonnellate di CO</w:t>
      </w:r>
      <w:r>
        <w:rPr>
          <w:b/>
          <w:color w:val="000000"/>
          <w:vertAlign w:val="subscript"/>
        </w:rPr>
        <w:t>2</w:t>
      </w:r>
      <w:r>
        <w:rPr>
          <w:color w:val="000000"/>
        </w:rPr>
        <w:t xml:space="preserve"> evitate grazie ai processi circolari attivati per i clienti:</w:t>
      </w:r>
    </w:p>
    <w:p w14:paraId="6217F825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>Un tasso di circolarità dell’</w:t>
      </w:r>
      <w:r>
        <w:rPr>
          <w:b/>
          <w:color w:val="000000"/>
        </w:rPr>
        <w:t>86%</w:t>
      </w:r>
      <w:r>
        <w:rPr>
          <w:color w:val="000000"/>
        </w:rPr>
        <w:t xml:space="preserve">, </w:t>
      </w:r>
      <w:r>
        <w:rPr>
          <w:b/>
          <w:color w:val="000000"/>
        </w:rPr>
        <w:t>in crescita del 2% rispetto al 2023</w:t>
      </w:r>
      <w:r>
        <w:rPr>
          <w:color w:val="000000"/>
        </w:rPr>
        <w:t xml:space="preserve">; </w:t>
      </w:r>
    </w:p>
    <w:p w14:paraId="4C977F61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Una </w:t>
      </w:r>
      <w:r>
        <w:rPr>
          <w:b/>
          <w:color w:val="000000"/>
        </w:rPr>
        <w:t>riduzione del 3%</w:t>
      </w:r>
      <w:r>
        <w:rPr>
          <w:color w:val="000000"/>
        </w:rPr>
        <w:t xml:space="preserve"> </w:t>
      </w:r>
      <w:r>
        <w:rPr>
          <w:b/>
          <w:color w:val="000000"/>
        </w:rPr>
        <w:t xml:space="preserve">delle emissioni dirette e indirette (Scope 1 e 2), </w:t>
      </w:r>
      <w:r>
        <w:rPr>
          <w:color w:val="000000"/>
        </w:rPr>
        <w:t>grazie principalmente a un’efficienza energetica sempre più affinata;</w:t>
      </w:r>
    </w:p>
    <w:p w14:paraId="6AFE8134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Una diminuzione del </w:t>
      </w:r>
      <w:r>
        <w:rPr>
          <w:b/>
          <w:color w:val="000000"/>
        </w:rPr>
        <w:t>2%</w:t>
      </w:r>
      <w:r>
        <w:rPr>
          <w:color w:val="000000"/>
        </w:rPr>
        <w:t xml:space="preserve"> delle </w:t>
      </w:r>
      <w:r>
        <w:rPr>
          <w:b/>
          <w:color w:val="000000"/>
        </w:rPr>
        <w:t>altre emissioni inquinanti</w:t>
      </w:r>
      <w:r>
        <w:rPr>
          <w:color w:val="000000"/>
        </w:rPr>
        <w:t xml:space="preserve"> rispetto al 2023;</w:t>
      </w:r>
    </w:p>
    <w:p w14:paraId="40AFA758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Un </w:t>
      </w:r>
      <w:r>
        <w:rPr>
          <w:b/>
          <w:color w:val="000000"/>
        </w:rPr>
        <w:t>aumento del 7% della forza lavoro</w:t>
      </w:r>
      <w:r>
        <w:rPr>
          <w:color w:val="000000"/>
        </w:rPr>
        <w:t>, con 1540 dipendenti al 31 dicembre 2024;</w:t>
      </w:r>
    </w:p>
    <w:p w14:paraId="2DB3B3C3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Un incremento del </w:t>
      </w:r>
      <w:r>
        <w:rPr>
          <w:b/>
          <w:color w:val="000000"/>
        </w:rPr>
        <w:t>3% della presenza femminile in posizioni manageriali</w:t>
      </w:r>
      <w:r>
        <w:rPr>
          <w:color w:val="000000"/>
        </w:rPr>
        <w:t>;</w:t>
      </w:r>
    </w:p>
    <w:p w14:paraId="6203FCAE" w14:textId="77777777" w:rsidR="003B5F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Un </w:t>
      </w:r>
      <w:r>
        <w:rPr>
          <w:b/>
          <w:color w:val="000000"/>
        </w:rPr>
        <w:t xml:space="preserve">aumento dell’11% </w:t>
      </w:r>
      <w:r>
        <w:rPr>
          <w:color w:val="000000"/>
        </w:rPr>
        <w:t xml:space="preserve">del numero di ore di formazione </w:t>
      </w:r>
      <w:proofErr w:type="spellStart"/>
      <w:r>
        <w:rPr>
          <w:color w:val="000000"/>
        </w:rPr>
        <w:t>procapite</w:t>
      </w:r>
      <w:proofErr w:type="spellEnd"/>
      <w:r>
        <w:rPr>
          <w:color w:val="000000"/>
        </w:rPr>
        <w:t xml:space="preserve"> nel corso dell’ultimo anno, a testimonianza dell’investimento nelle competenze specialistiche.</w:t>
      </w:r>
    </w:p>
    <w:p w14:paraId="4E018BEE" w14:textId="77777777" w:rsidR="003B5F0A" w:rsidRDefault="00000000">
      <w:pPr>
        <w:jc w:val="both"/>
      </w:pPr>
      <w:r>
        <w:t xml:space="preserve">L’impegno di </w:t>
      </w:r>
      <w:proofErr w:type="spellStart"/>
      <w:r>
        <w:t>Itelyum</w:t>
      </w:r>
      <w:proofErr w:type="spellEnd"/>
      <w:r>
        <w:t xml:space="preserve"> in termini di sostenibilità si riflette anche nelle rigorose </w:t>
      </w:r>
      <w:r>
        <w:rPr>
          <w:b/>
        </w:rPr>
        <w:t>attività di controllo e di gestione interna a garanzia di pratiche etiche e trasparenti</w:t>
      </w:r>
      <w:r>
        <w:t xml:space="preserve"> lungo tutta la catena del valore.</w:t>
      </w:r>
    </w:p>
    <w:p w14:paraId="2C6218CE" w14:textId="77777777" w:rsidR="003B5F0A" w:rsidRDefault="00000000">
      <w:pPr>
        <w:jc w:val="both"/>
        <w:rPr>
          <w:i/>
        </w:rPr>
      </w:pPr>
      <w:r>
        <w:rPr>
          <w:i/>
        </w:rPr>
        <w:t>“Siamo fieri di presentare il Bilancio di Sostenibilità 2024 in un momento cruciale per la nostra crescita e innovazione</w:t>
      </w:r>
      <w:r>
        <w:t xml:space="preserve"> – dichiara </w:t>
      </w:r>
      <w:r>
        <w:rPr>
          <w:b/>
        </w:rPr>
        <w:t>Marco Codognola,</w:t>
      </w:r>
      <w:r>
        <w:t xml:space="preserve"> </w:t>
      </w:r>
      <w:r>
        <w:rPr>
          <w:b/>
        </w:rPr>
        <w:t xml:space="preserve">Amministratore Delegato di </w:t>
      </w:r>
      <w:proofErr w:type="spellStart"/>
      <w:r>
        <w:rPr>
          <w:b/>
        </w:rPr>
        <w:t>Itelyum</w:t>
      </w:r>
      <w:proofErr w:type="spellEnd"/>
      <w:r>
        <w:t xml:space="preserve"> -. </w:t>
      </w:r>
      <w:r>
        <w:rPr>
          <w:i/>
        </w:rPr>
        <w:t>Il nuovo quartier generale di Milano è il cuore pulsante di questa evoluzione, un luogo pensato per favorire collaborazione, sviluppo delle competenze e creatività. Il lavoro quotidiano di quasi 1600 collaboratori in 52 sedi tra Italia e estero è la vera forza che ci consente di guidare la transizione verso un sistema industriale più sostenibile e resiliente</w:t>
      </w:r>
      <w:r>
        <w:t>”.</w:t>
      </w:r>
    </w:p>
    <w:p w14:paraId="4A5E6D87" w14:textId="77777777" w:rsidR="003B5F0A" w:rsidRDefault="00000000">
      <w:pPr>
        <w:jc w:val="both"/>
      </w:pPr>
      <w:r>
        <w:t xml:space="preserve">Il Gruppo conferma oggi il suo impegno a </w:t>
      </w:r>
      <w:r>
        <w:rPr>
          <w:b/>
        </w:rPr>
        <w:t>trasformare i modelli produttivi</w:t>
      </w:r>
      <w:r>
        <w:t xml:space="preserve"> </w:t>
      </w:r>
      <w:r>
        <w:rPr>
          <w:b/>
        </w:rPr>
        <w:t xml:space="preserve">industriali </w:t>
      </w:r>
      <w:r>
        <w:t xml:space="preserve">verso soluzioni sempre più circolari, come dimostrano le </w:t>
      </w:r>
      <w:r>
        <w:rPr>
          <w:b/>
        </w:rPr>
        <w:t>acquisizioni</w:t>
      </w:r>
      <w:r>
        <w:t xml:space="preserve"> avvenute nel primo semestre 2025 di </w:t>
      </w:r>
      <w:r>
        <w:rPr>
          <w:i/>
        </w:rPr>
        <w:t>Holding Gestione Ambiente S.p.A.</w:t>
      </w:r>
      <w:r>
        <w:t xml:space="preserve"> e </w:t>
      </w:r>
      <w:proofErr w:type="spellStart"/>
      <w:r>
        <w:rPr>
          <w:i/>
        </w:rPr>
        <w:t>Specialacque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srl</w:t>
      </w:r>
      <w:proofErr w:type="spellEnd"/>
      <w:r>
        <w:t xml:space="preserve"> con relative controllate, che rafforzano significativamente la presenza nel trattamento dei rifiuti liquidi. </w:t>
      </w:r>
    </w:p>
    <w:p w14:paraId="239CB3F4" w14:textId="77777777" w:rsidR="003B5F0A" w:rsidRDefault="00000000">
      <w:pPr>
        <w:jc w:val="both"/>
      </w:pPr>
      <w:r>
        <w:lastRenderedPageBreak/>
        <w:t>“</w:t>
      </w:r>
      <w:r>
        <w:rPr>
          <w:i/>
        </w:rPr>
        <w:t>Siamo impegnati nel trattamento delle acque, nel disinquinamento e nella purificazione, investendo continuamente in tecnologie di riciclo avanzate</w:t>
      </w:r>
      <w:r>
        <w:t xml:space="preserve"> – continua </w:t>
      </w:r>
      <w:r>
        <w:rPr>
          <w:b/>
        </w:rPr>
        <w:t>Codognola</w:t>
      </w:r>
      <w:r>
        <w:t xml:space="preserve"> -. </w:t>
      </w:r>
      <w:r>
        <w:rPr>
          <w:i/>
        </w:rPr>
        <w:t>Questa è la nostra missione: proteggere l’ambiente e sviluppare un’economia circolare sempre più efficiente e responsabile</w:t>
      </w:r>
      <w:r>
        <w:t>”.</w:t>
      </w:r>
    </w:p>
    <w:p w14:paraId="4DB05E4C" w14:textId="77777777" w:rsidR="003B5F0A" w:rsidRDefault="00000000">
      <w:pPr>
        <w:jc w:val="both"/>
      </w:pPr>
      <w:r>
        <w:t xml:space="preserve">Alle ultime acquisizioni si aggiungono importanti sviluppi su fronti strategici: </w:t>
      </w:r>
    </w:p>
    <w:p w14:paraId="021E6E78" w14:textId="77777777" w:rsidR="003B5F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t>Finanziario</w:t>
      </w:r>
      <w:r>
        <w:rPr>
          <w:color w:val="000000"/>
        </w:rPr>
        <w:t>, con l’emissione obbligazionaria da 725 milioni di euro nel mese di marzo, a conferma della fiducia degli investitori;</w:t>
      </w:r>
    </w:p>
    <w:p w14:paraId="64809170" w14:textId="77777777" w:rsidR="003B5F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b/>
          <w:color w:val="000000"/>
        </w:rPr>
        <w:t>ricerca e sviluppo</w:t>
      </w:r>
      <w:r>
        <w:rPr>
          <w:color w:val="000000"/>
        </w:rPr>
        <w:t>, con il riconoscimento a livello europeo per il progetto di recupero delle terre rare;</w:t>
      </w:r>
    </w:p>
    <w:p w14:paraId="33585719" w14:textId="77777777" w:rsidR="003B5F0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b/>
          <w:color w:val="000000"/>
        </w:rPr>
        <w:t>mercato</w:t>
      </w:r>
      <w:r>
        <w:rPr>
          <w:color w:val="000000"/>
        </w:rPr>
        <w:t xml:space="preserve">, con l’ottenimento di certificazioni ISCC PLUS su alcuni dei propri prodotti, a garanzia di una filiera responsabile. </w:t>
      </w:r>
    </w:p>
    <w:p w14:paraId="5F1229A8" w14:textId="77777777" w:rsidR="003B5F0A" w:rsidRDefault="00000000">
      <w:pPr>
        <w:jc w:val="both"/>
      </w:pPr>
      <w:r>
        <w:t>Il Bilancio di Sostenibilità 2024 completo è disponibile sul sito itelyum.com</w:t>
      </w:r>
    </w:p>
    <w:p w14:paraId="5BF61657" w14:textId="77777777" w:rsidR="007234A3" w:rsidRDefault="007234A3">
      <w:pPr>
        <w:jc w:val="both"/>
      </w:pPr>
    </w:p>
    <w:p w14:paraId="1986EEC0" w14:textId="77777777" w:rsidR="007234A3" w:rsidRDefault="007234A3">
      <w:pPr>
        <w:jc w:val="both"/>
      </w:pPr>
    </w:p>
    <w:p w14:paraId="5D476448" w14:textId="77777777" w:rsidR="007234A3" w:rsidRDefault="007234A3">
      <w:pPr>
        <w:jc w:val="both"/>
      </w:pPr>
    </w:p>
    <w:p w14:paraId="05A8831C" w14:textId="77777777" w:rsidR="007234A3" w:rsidRDefault="007234A3">
      <w:pPr>
        <w:jc w:val="both"/>
      </w:pPr>
    </w:p>
    <w:p w14:paraId="0AAE4E13" w14:textId="77777777" w:rsidR="007234A3" w:rsidRDefault="007234A3">
      <w:pPr>
        <w:jc w:val="both"/>
      </w:pPr>
    </w:p>
    <w:p w14:paraId="53C2569B" w14:textId="77777777" w:rsidR="007234A3" w:rsidRDefault="007234A3" w:rsidP="007234A3">
      <w:pPr>
        <w:rPr>
          <w:i/>
          <w:sz w:val="16"/>
          <w:szCs w:val="16"/>
        </w:rPr>
      </w:pPr>
      <w:proofErr w:type="spellStart"/>
      <w:r>
        <w:rPr>
          <w:b/>
          <w:i/>
          <w:sz w:val="16"/>
          <w:szCs w:val="16"/>
        </w:rPr>
        <w:t>Itelyum</w:t>
      </w:r>
      <w:proofErr w:type="spellEnd"/>
      <w:r>
        <w:rPr>
          <w:i/>
          <w:sz w:val="16"/>
          <w:szCs w:val="16"/>
        </w:rPr>
        <w:t xml:space="preserve"> è leader nazionale e player internazionale nella gestione e valorizzazione dei rifiuti industriali. Con una forte presenza locale e una visione globale, </w:t>
      </w:r>
      <w:proofErr w:type="spellStart"/>
      <w:r>
        <w:rPr>
          <w:i/>
          <w:sz w:val="16"/>
          <w:szCs w:val="16"/>
        </w:rPr>
        <w:t>Itelyum</w:t>
      </w:r>
      <w:proofErr w:type="spellEnd"/>
      <w:r>
        <w:rPr>
          <w:i/>
          <w:sz w:val="16"/>
          <w:szCs w:val="16"/>
        </w:rPr>
        <w:t xml:space="preserve"> è il punto di riferimento per soluzioni sostenibili a supporto dell’economia circolare e del futuro del pianeta.</w:t>
      </w:r>
    </w:p>
    <w:p w14:paraId="6181682D" w14:textId="77777777" w:rsidR="007234A3" w:rsidRDefault="007234A3" w:rsidP="007234A3">
      <w:pPr>
        <w:rPr>
          <w:i/>
          <w:sz w:val="16"/>
          <w:szCs w:val="16"/>
        </w:rPr>
      </w:pPr>
      <w:r>
        <w:rPr>
          <w:b/>
          <w:i/>
          <w:sz w:val="16"/>
          <w:szCs w:val="16"/>
        </w:rPr>
        <w:t>Le sue attività principali includono</w:t>
      </w:r>
      <w:r>
        <w:rPr>
          <w:i/>
          <w:sz w:val="16"/>
          <w:szCs w:val="16"/>
        </w:rPr>
        <w:t>:</w:t>
      </w:r>
    </w:p>
    <w:p w14:paraId="3C867E75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- Rigenerazione: valorizzazione dell’olio lubrificante usato, trasformandolo in nuove basi rigenerate con caratteristiche qualitative paragonabili agli oli derivati dal greggio, con un significativo risparmio di emissioni di CO</w:t>
      </w:r>
      <w:r w:rsidRPr="006343B9">
        <w:rPr>
          <w:i/>
          <w:sz w:val="16"/>
          <w:szCs w:val="16"/>
          <w:vertAlign w:val="subscript"/>
        </w:rPr>
        <w:t>2.</w:t>
      </w:r>
    </w:p>
    <w:p w14:paraId="0EAE2EDD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- Purificazione dei reflui industriali: recupero di prodotti chimici e frazioni petrolifere dai reflui dell’industria chimica e farmaceutica, destinandoli agli stessi mercati o a nuovi utilizzi industriali; produzione di solventi ad alta purezza.</w:t>
      </w:r>
    </w:p>
    <w:p w14:paraId="4B489E64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- Gestione integrata dei rifiuti industriali: gruppo di società che gestiscono su tutto il territorio nazionale diversi servizi “one stop shop” ai produttori di rifiuti speciali; la presenza attiva in tutte le fasi di gestione dei rifiuti terrestri e portuali, dalla raccolta, allo stoccaggio, al trasporto e pretrattamento, è completata da attività di servizio e intermediazione, di consulenza ambientale, analisi chimiche e per la sicurezza.</w:t>
      </w:r>
    </w:p>
    <w:p w14:paraId="3BF12E75" w14:textId="77777777" w:rsidR="007234A3" w:rsidRDefault="007234A3" w:rsidP="007234A3">
      <w:pPr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I numeri di </w:t>
      </w:r>
      <w:proofErr w:type="spellStart"/>
      <w:r>
        <w:rPr>
          <w:b/>
          <w:i/>
          <w:sz w:val="16"/>
          <w:szCs w:val="16"/>
        </w:rPr>
        <w:t>Itelyum</w:t>
      </w:r>
      <w:proofErr w:type="spellEnd"/>
      <w:r>
        <w:rPr>
          <w:b/>
          <w:i/>
          <w:sz w:val="16"/>
          <w:szCs w:val="16"/>
        </w:rPr>
        <w:t>:</w:t>
      </w:r>
    </w:p>
    <w:p w14:paraId="2E9006F6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circa €600 milioni di ricavi</w:t>
      </w:r>
    </w:p>
    <w:p w14:paraId="6667D7A4" w14:textId="023B5D02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52 </w:t>
      </w:r>
      <w:r>
        <w:rPr>
          <w:i/>
          <w:sz w:val="16"/>
          <w:szCs w:val="16"/>
        </w:rPr>
        <w:t>società</w:t>
      </w:r>
    </w:p>
    <w:p w14:paraId="38C8AB56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più di 1.600 dipendenti</w:t>
      </w:r>
    </w:p>
    <w:p w14:paraId="0561C648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45.000+ clienti</w:t>
      </w:r>
    </w:p>
    <w:p w14:paraId="130068F0" w14:textId="77777777" w:rsidR="007234A3" w:rsidRDefault="007234A3" w:rsidP="007234A3">
      <w:pPr>
        <w:rPr>
          <w:i/>
          <w:sz w:val="16"/>
          <w:szCs w:val="16"/>
        </w:rPr>
      </w:pPr>
      <w:r>
        <w:rPr>
          <w:i/>
          <w:sz w:val="16"/>
          <w:szCs w:val="16"/>
        </w:rPr>
        <w:t>oltre 60 paesi serviti</w:t>
      </w:r>
    </w:p>
    <w:p w14:paraId="01AFE3C9" w14:textId="77777777" w:rsidR="007234A3" w:rsidRDefault="007234A3">
      <w:pPr>
        <w:jc w:val="both"/>
      </w:pPr>
    </w:p>
    <w:sectPr w:rsidR="007234A3">
      <w:pgSz w:w="11906" w:h="16838"/>
      <w:pgMar w:top="426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DCE7774-4D73-4501-AE7A-BDCB85FC81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862486C-4F01-45D1-80CF-C31A9357CA52}"/>
    <w:embedBold r:id="rId3" w:fontKey="{CB15A8C6-6741-4FAD-A424-8498996184DE}"/>
    <w:embedItalic r:id="rId4" w:fontKey="{316DF906-9229-43F3-B546-B447EF288587}"/>
    <w:embedBoldItalic r:id="rId5" w:fontKey="{FBDCD0A5-3FAB-45C6-9485-82633BC7718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572BA7B-FA96-4AC1-A847-29978FA48A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794D83"/>
    <w:multiLevelType w:val="multilevel"/>
    <w:tmpl w:val="BA96BB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905C3E"/>
    <w:multiLevelType w:val="multilevel"/>
    <w:tmpl w:val="FE0E20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4496392">
    <w:abstractNumId w:val="1"/>
  </w:num>
  <w:num w:numId="2" w16cid:durableId="662855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5F0A"/>
    <w:rsid w:val="002A1D32"/>
    <w:rsid w:val="003B5F0A"/>
    <w:rsid w:val="006343B9"/>
    <w:rsid w:val="007234A3"/>
    <w:rsid w:val="00FC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05884F"/>
  <w15:docId w15:val="{015C94BD-87A7-4ADE-ACBC-D67871E6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13B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3B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3B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3B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3B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3B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3B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3B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3B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713B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13B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13B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13B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3BC2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3BC2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3BC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3BC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3BC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3BC2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713B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3B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13BC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3BC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713BC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713BC2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3B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3BC2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713BC2"/>
    <w:rPr>
      <w:b/>
      <w:bCs/>
      <w:smallCaps/>
      <w:color w:val="2F5496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0B41F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41F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41F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41F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41F8"/>
    <w:rPr>
      <w:b/>
      <w:bCs/>
      <w:sz w:val="20"/>
      <w:szCs w:val="20"/>
    </w:rPr>
  </w:style>
  <w:style w:type="paragraph" w:styleId="Revisione">
    <w:name w:val="Revision"/>
    <w:hidden/>
    <w:uiPriority w:val="99"/>
    <w:semiHidden/>
    <w:rsid w:val="000B41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8QFdJNdgf23CgNkSXypx4q08KA==">CgMxLjA4AHIhMWVJemM3dDh4VmRHS0R6UHhXTFNxdjRpYkNDcjM0a1ZV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712</Words>
  <Characters>4060</Characters>
  <Application>Microsoft Office Word</Application>
  <DocSecurity>0</DocSecurity>
  <Lines>33</Lines>
  <Paragraphs>9</Paragraphs>
  <ScaleCrop>false</ScaleCrop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Federica Francioso</dc:creator>
  <cp:lastModifiedBy>Daniele Sivori</cp:lastModifiedBy>
  <cp:revision>5</cp:revision>
  <dcterms:created xsi:type="dcterms:W3CDTF">2025-06-18T15:47:00Z</dcterms:created>
  <dcterms:modified xsi:type="dcterms:W3CDTF">2025-06-18T15:50:00Z</dcterms:modified>
</cp:coreProperties>
</file>