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FE7D" w14:textId="77777777" w:rsidR="00D15622" w:rsidRDefault="00D15622">
      <w:pPr>
        <w:ind w:left="567" w:right="758"/>
        <w:jc w:val="center"/>
        <w:rPr>
          <w:b/>
          <w:sz w:val="40"/>
          <w:szCs w:val="40"/>
        </w:rPr>
      </w:pPr>
    </w:p>
    <w:p w14:paraId="4D30E657" w14:textId="77777777" w:rsidR="00D15622" w:rsidRDefault="00000000">
      <w:pPr>
        <w:ind w:left="567" w:right="758"/>
        <w:jc w:val="center"/>
        <w:rPr>
          <w:b/>
          <w:sz w:val="40"/>
          <w:szCs w:val="40"/>
        </w:rPr>
      </w:pPr>
      <w:r>
        <w:rPr>
          <w:b/>
          <w:sz w:val="40"/>
          <w:szCs w:val="40"/>
        </w:rPr>
        <w:t>Cartella Stampa</w:t>
      </w:r>
    </w:p>
    <w:p w14:paraId="680164C8" w14:textId="77777777" w:rsidR="00D15622" w:rsidRDefault="00D15622">
      <w:pPr>
        <w:ind w:right="758"/>
      </w:pPr>
    </w:p>
    <w:p w14:paraId="188429F2" w14:textId="77777777" w:rsidR="00D15622" w:rsidRDefault="00D15622">
      <w:pPr>
        <w:ind w:right="758"/>
      </w:pPr>
    </w:p>
    <w:p w14:paraId="2149E1DD" w14:textId="77777777" w:rsidR="00D15622" w:rsidRDefault="00000000">
      <w:pPr>
        <w:ind w:left="567" w:right="758"/>
      </w:pPr>
      <w:r>
        <w:rPr>
          <w:b/>
          <w:sz w:val="28"/>
          <w:szCs w:val="28"/>
        </w:rPr>
        <w:t>Chi è i-Foria Italia</w:t>
      </w:r>
    </w:p>
    <w:p w14:paraId="2A6A9090" w14:textId="77777777" w:rsidR="00D15622" w:rsidRDefault="00000000">
      <w:pPr>
        <w:ind w:left="567" w:right="758"/>
        <w:jc w:val="both"/>
        <w:rPr>
          <w:sz w:val="24"/>
          <w:szCs w:val="24"/>
        </w:rPr>
      </w:pPr>
      <w:r>
        <w:rPr>
          <w:sz w:val="24"/>
          <w:szCs w:val="24"/>
        </w:rPr>
        <w:t>i-Foria Italia è un’azienda innovativa che ha sviluppato, brevettato e validato una tecnologia rivoluzionaria per il riciclo dei prodotti assorbenti per la persona (PAP), come pannolini e prodotti per l’igiene personale, e cioè l’irriciclabile per eccellenza. La tecnologia consente di recuperare fino al 100% dei materiali contenuti nei PAP, trasformandoli in Materie Prime Seconde riutilizzabili in nuovi cicli produttivi con un processo energeticamente efficiente che consente di rispettare gli stringenti criteri del decreto End of Waste DM 62/2019.</w:t>
      </w:r>
    </w:p>
    <w:p w14:paraId="55389D68" w14:textId="77777777" w:rsidR="00D15622" w:rsidRDefault="00000000">
      <w:pPr>
        <w:ind w:left="567" w:right="758"/>
        <w:rPr>
          <w:b/>
          <w:sz w:val="28"/>
          <w:szCs w:val="28"/>
        </w:rPr>
      </w:pPr>
      <w:r>
        <w:rPr>
          <w:b/>
          <w:sz w:val="28"/>
          <w:szCs w:val="28"/>
        </w:rPr>
        <w:br/>
        <w:t>Scenario di Mercato</w:t>
      </w:r>
    </w:p>
    <w:p w14:paraId="77FB885A" w14:textId="77777777" w:rsidR="00D15622" w:rsidRDefault="00000000">
      <w:pPr>
        <w:ind w:left="567" w:right="758"/>
        <w:rPr>
          <w:sz w:val="24"/>
          <w:szCs w:val="24"/>
        </w:rPr>
      </w:pPr>
      <w:r>
        <w:rPr>
          <w:sz w:val="24"/>
          <w:szCs w:val="24"/>
        </w:rPr>
        <w:t>• 30 milioni di tonnellate/anno di PAP prodotti a livello globale</w:t>
      </w:r>
      <w:r>
        <w:rPr>
          <w:sz w:val="24"/>
          <w:szCs w:val="24"/>
        </w:rPr>
        <w:br/>
        <w:t>• 900.000 tonnellate/anno smaltite in Italia in discariche e inceneritori</w:t>
      </w:r>
      <w:r>
        <w:rPr>
          <w:sz w:val="24"/>
          <w:szCs w:val="24"/>
        </w:rPr>
        <w:br/>
        <w:t>• 18 milioni di italiani già serviti dalla raccolta differenziata PAP</w:t>
      </w:r>
    </w:p>
    <w:p w14:paraId="07AAE247" w14:textId="77777777" w:rsidR="00D15622" w:rsidRDefault="00D15622">
      <w:pPr>
        <w:ind w:left="567" w:right="758"/>
        <w:rPr>
          <w:sz w:val="24"/>
          <w:szCs w:val="24"/>
        </w:rPr>
      </w:pPr>
    </w:p>
    <w:p w14:paraId="41B781C1" w14:textId="77777777" w:rsidR="00D15622" w:rsidRDefault="00000000">
      <w:pPr>
        <w:ind w:left="567" w:right="758"/>
      </w:pPr>
      <w:r>
        <w:rPr>
          <w:sz w:val="24"/>
          <w:szCs w:val="24"/>
        </w:rPr>
        <w:t>Normative UE: severe restrizioni su discariche e inceneritori</w:t>
      </w:r>
      <w:r>
        <w:rPr>
          <w:sz w:val="24"/>
          <w:szCs w:val="24"/>
        </w:rPr>
        <w:br/>
        <w:t>PNRR: finanziamento per 15 nuovi impianti di riciclo PAP in Italia.</w:t>
      </w:r>
      <w:r>
        <w:rPr>
          <w:sz w:val="24"/>
          <w:szCs w:val="24"/>
        </w:rPr>
        <w:br/>
      </w:r>
    </w:p>
    <w:p w14:paraId="37F9994A" w14:textId="77777777" w:rsidR="00D15622" w:rsidRDefault="00000000">
      <w:pPr>
        <w:ind w:left="567" w:right="758"/>
        <w:rPr>
          <w:b/>
          <w:sz w:val="28"/>
          <w:szCs w:val="28"/>
        </w:rPr>
      </w:pPr>
      <w:r>
        <w:rPr>
          <w:b/>
          <w:sz w:val="28"/>
          <w:szCs w:val="28"/>
        </w:rPr>
        <w:t>La Tecnologia i-Foria</w:t>
      </w:r>
    </w:p>
    <w:p w14:paraId="7D7A6CFE" w14:textId="77777777" w:rsidR="00D15622" w:rsidRDefault="00000000">
      <w:pPr>
        <w:ind w:left="567" w:right="758"/>
        <w:rPr>
          <w:sz w:val="24"/>
          <w:szCs w:val="24"/>
        </w:rPr>
      </w:pPr>
      <w:r>
        <w:rPr>
          <w:sz w:val="24"/>
          <w:szCs w:val="24"/>
        </w:rPr>
        <w:t>• 1 brevetto concesso e altri 2 depositati</w:t>
      </w:r>
    </w:p>
    <w:p w14:paraId="5CB4468E" w14:textId="77777777" w:rsidR="00D15622" w:rsidRDefault="00000000">
      <w:pPr>
        <w:ind w:left="567" w:right="758"/>
      </w:pPr>
      <w:r>
        <w:rPr>
          <w:sz w:val="24"/>
          <w:szCs w:val="24"/>
        </w:rPr>
        <w:t>• Horizon Grant europeo al 100% per la realizzazione di un impianto dimostrativo</w:t>
      </w:r>
      <w:r>
        <w:rPr>
          <w:sz w:val="24"/>
          <w:szCs w:val="24"/>
        </w:rPr>
        <w:br/>
        <w:t>• Processo di sterilizzazione a vapore certificato da Ente Terzo, standard dispositivi medico-chirurgici</w:t>
      </w:r>
      <w:r>
        <w:rPr>
          <w:sz w:val="24"/>
          <w:szCs w:val="24"/>
        </w:rPr>
        <w:br/>
        <w:t>• Impatto odorigeno e acustico trascurabile, nessuna VIA richiesta</w:t>
      </w:r>
      <w:r>
        <w:rPr>
          <w:sz w:val="24"/>
          <w:szCs w:val="24"/>
        </w:rPr>
        <w:br/>
        <w:t>• Materie Prime Seconde che rispettano i criteri per acqua potabile</w:t>
      </w:r>
      <w:r>
        <w:rPr>
          <w:sz w:val="24"/>
          <w:szCs w:val="24"/>
        </w:rPr>
        <w:br/>
      </w:r>
    </w:p>
    <w:p w14:paraId="0B03A036" w14:textId="77777777" w:rsidR="00D15622" w:rsidRDefault="00000000">
      <w:pPr>
        <w:ind w:left="567" w:right="758"/>
      </w:pPr>
      <w:r>
        <w:rPr>
          <w:b/>
          <w:sz w:val="28"/>
          <w:szCs w:val="28"/>
        </w:rPr>
        <w:t>Business Model</w:t>
      </w:r>
    </w:p>
    <w:p w14:paraId="2525FD4D" w14:textId="77777777" w:rsidR="00D15622" w:rsidRDefault="00000000">
      <w:pPr>
        <w:ind w:left="567" w:right="758"/>
      </w:pPr>
      <w:r>
        <w:rPr>
          <w:sz w:val="24"/>
          <w:szCs w:val="24"/>
        </w:rPr>
        <w:t>• Royalties per l’uso della tecnologia</w:t>
      </w:r>
      <w:r>
        <w:rPr>
          <w:sz w:val="24"/>
          <w:szCs w:val="24"/>
        </w:rPr>
        <w:br/>
        <w:t>• Servizi di consulenza e R&amp;D</w:t>
      </w:r>
      <w:r>
        <w:rPr>
          <w:sz w:val="24"/>
          <w:szCs w:val="24"/>
        </w:rPr>
        <w:br/>
        <w:t>• Vendita di componenti impiantistici</w:t>
      </w:r>
      <w:r>
        <w:rPr>
          <w:sz w:val="24"/>
          <w:szCs w:val="24"/>
        </w:rPr>
        <w:br/>
        <w:t>• Fondi europei e nazionali</w:t>
      </w:r>
      <w:r>
        <w:rPr>
          <w:sz w:val="24"/>
          <w:szCs w:val="24"/>
        </w:rPr>
        <w:br/>
        <w:t>• Accordi di licenza esclusiva con partner industriali</w:t>
      </w:r>
      <w:r>
        <w:rPr>
          <w:sz w:val="24"/>
          <w:szCs w:val="24"/>
        </w:rPr>
        <w:br/>
      </w:r>
    </w:p>
    <w:p w14:paraId="3D7349F7" w14:textId="77777777" w:rsidR="00D15622" w:rsidRDefault="00000000">
      <w:pPr>
        <w:ind w:left="567" w:right="758"/>
      </w:pPr>
      <w:r>
        <w:rPr>
          <w:b/>
          <w:sz w:val="28"/>
          <w:szCs w:val="28"/>
        </w:rPr>
        <w:t>Accordi e Partnership</w:t>
      </w:r>
    </w:p>
    <w:p w14:paraId="0AE95E27" w14:textId="77777777" w:rsidR="00D15622" w:rsidRDefault="00000000">
      <w:pPr>
        <w:ind w:left="567" w:right="758"/>
        <w:rPr>
          <w:b/>
          <w:sz w:val="28"/>
          <w:szCs w:val="28"/>
        </w:rPr>
      </w:pPr>
      <w:r>
        <w:rPr>
          <w:sz w:val="24"/>
          <w:szCs w:val="24"/>
        </w:rPr>
        <w:t>• Accordi di licenza esclusiva con costruttori specializzati nell’impiantistica per trattamento rifiuti</w:t>
      </w:r>
      <w:r>
        <w:rPr>
          <w:sz w:val="24"/>
          <w:szCs w:val="24"/>
        </w:rPr>
        <w:br/>
        <w:t>• Accordo di Esclusiva con il principale fornitore di tecnologia</w:t>
      </w:r>
      <w:r>
        <w:rPr>
          <w:sz w:val="24"/>
          <w:szCs w:val="24"/>
        </w:rPr>
        <w:br/>
        <w:t>• Lettere di intenti per la vendita del mix assorbente (Cellulosa+SAP)</w:t>
      </w:r>
      <w:r>
        <w:rPr>
          <w:sz w:val="24"/>
          <w:szCs w:val="24"/>
        </w:rPr>
        <w:br/>
        <w:t>• Partnership con Legambiente</w:t>
      </w:r>
    </w:p>
    <w:p w14:paraId="35CDB458" w14:textId="77777777" w:rsidR="00D15622" w:rsidRDefault="00D15622">
      <w:pPr>
        <w:ind w:left="567" w:right="758"/>
        <w:rPr>
          <w:b/>
          <w:sz w:val="28"/>
          <w:szCs w:val="28"/>
        </w:rPr>
      </w:pPr>
    </w:p>
    <w:p w14:paraId="2F8C53F5" w14:textId="77777777" w:rsidR="00D15622" w:rsidRDefault="00D15622">
      <w:pPr>
        <w:ind w:left="567" w:right="758"/>
        <w:rPr>
          <w:b/>
          <w:sz w:val="28"/>
          <w:szCs w:val="28"/>
        </w:rPr>
      </w:pPr>
    </w:p>
    <w:p w14:paraId="357DBC7D" w14:textId="77777777" w:rsidR="00D15622" w:rsidRDefault="00000000">
      <w:pPr>
        <w:ind w:left="567" w:right="758"/>
        <w:rPr>
          <w:b/>
          <w:sz w:val="28"/>
          <w:szCs w:val="28"/>
        </w:rPr>
      </w:pPr>
      <w:r>
        <w:rPr>
          <w:b/>
          <w:sz w:val="28"/>
          <w:szCs w:val="28"/>
        </w:rPr>
        <w:lastRenderedPageBreak/>
        <w:t>Applicazioni delle Materie Prime Seconde</w:t>
      </w:r>
    </w:p>
    <w:p w14:paraId="33B4E320" w14:textId="77777777" w:rsidR="00D15622" w:rsidRDefault="00D15622">
      <w:pPr>
        <w:ind w:left="567" w:right="758"/>
        <w:rPr>
          <w:b/>
          <w:sz w:val="28"/>
          <w:szCs w:val="28"/>
        </w:rPr>
      </w:pPr>
    </w:p>
    <w:p w14:paraId="3D7A02B0" w14:textId="77777777" w:rsidR="00D15622" w:rsidRDefault="00000000">
      <w:pPr>
        <w:ind w:left="567" w:right="758"/>
        <w:rPr>
          <w:b/>
          <w:sz w:val="24"/>
          <w:szCs w:val="24"/>
        </w:rPr>
      </w:pPr>
      <w:r>
        <w:rPr>
          <w:b/>
          <w:sz w:val="24"/>
          <w:szCs w:val="24"/>
        </w:rPr>
        <w:t>Mix Assorbente (Cellulosa+SAP):</w:t>
      </w:r>
    </w:p>
    <w:p w14:paraId="0CC5FF65" w14:textId="77777777" w:rsidR="00D15622" w:rsidRDefault="00000000">
      <w:pPr>
        <w:ind w:left="567" w:right="758"/>
        <w:rPr>
          <w:sz w:val="24"/>
          <w:szCs w:val="24"/>
        </w:rPr>
      </w:pPr>
      <w:r>
        <w:rPr>
          <w:sz w:val="24"/>
          <w:szCs w:val="24"/>
        </w:rPr>
        <w:t>• Nanocellulosa</w:t>
      </w:r>
      <w:r>
        <w:rPr>
          <w:sz w:val="24"/>
          <w:szCs w:val="24"/>
        </w:rPr>
        <w:br/>
        <w:t>• Cartone ondulato</w:t>
      </w:r>
    </w:p>
    <w:p w14:paraId="22E376EC" w14:textId="77777777" w:rsidR="00D15622" w:rsidRDefault="00000000">
      <w:pPr>
        <w:ind w:left="567" w:right="758"/>
        <w:rPr>
          <w:sz w:val="24"/>
          <w:szCs w:val="24"/>
        </w:rPr>
      </w:pPr>
      <w:r>
        <w:rPr>
          <w:sz w:val="24"/>
          <w:szCs w:val="24"/>
        </w:rPr>
        <w:t>• Materiale edile</w:t>
      </w:r>
      <w:r>
        <w:rPr>
          <w:sz w:val="24"/>
          <w:szCs w:val="24"/>
        </w:rPr>
        <w:br/>
        <w:t>• Lettiere per animali</w:t>
      </w:r>
    </w:p>
    <w:p w14:paraId="0B55FC2D" w14:textId="77777777" w:rsidR="00D15622" w:rsidRDefault="00D15622">
      <w:pPr>
        <w:ind w:left="567" w:right="758"/>
        <w:rPr>
          <w:sz w:val="24"/>
          <w:szCs w:val="24"/>
        </w:rPr>
      </w:pPr>
    </w:p>
    <w:p w14:paraId="7CB805EA" w14:textId="77777777" w:rsidR="00D15622" w:rsidRDefault="00000000">
      <w:pPr>
        <w:ind w:left="567" w:right="758"/>
        <w:rPr>
          <w:b/>
          <w:sz w:val="24"/>
          <w:szCs w:val="24"/>
        </w:rPr>
      </w:pPr>
      <w:r>
        <w:rPr>
          <w:b/>
          <w:sz w:val="24"/>
          <w:szCs w:val="24"/>
        </w:rPr>
        <w:t>Plastica riciclata:</w:t>
      </w:r>
    </w:p>
    <w:p w14:paraId="3AC7CB5C" w14:textId="77777777" w:rsidR="00D15622" w:rsidRDefault="00000000">
      <w:pPr>
        <w:ind w:left="567" w:right="758"/>
        <w:rPr>
          <w:sz w:val="24"/>
          <w:szCs w:val="24"/>
        </w:rPr>
      </w:pPr>
      <w:r>
        <w:rPr>
          <w:sz w:val="24"/>
          <w:szCs w:val="24"/>
        </w:rPr>
        <w:t>• Materiali per edilizia</w:t>
      </w:r>
    </w:p>
    <w:p w14:paraId="1DD14AE3" w14:textId="77777777" w:rsidR="00D15622" w:rsidRDefault="00000000">
      <w:pPr>
        <w:ind w:left="567" w:right="758"/>
        <w:rPr>
          <w:sz w:val="24"/>
          <w:szCs w:val="24"/>
        </w:rPr>
      </w:pPr>
      <w:r>
        <w:rPr>
          <w:sz w:val="24"/>
          <w:szCs w:val="24"/>
        </w:rPr>
        <w:t>• Bidoncini per rifiuti</w:t>
      </w:r>
    </w:p>
    <w:p w14:paraId="01329E5E" w14:textId="77777777" w:rsidR="00D15622" w:rsidRDefault="00000000">
      <w:pPr>
        <w:ind w:left="567" w:right="758"/>
        <w:rPr>
          <w:sz w:val="24"/>
          <w:szCs w:val="24"/>
        </w:rPr>
      </w:pPr>
      <w:r>
        <w:rPr>
          <w:sz w:val="24"/>
          <w:szCs w:val="24"/>
        </w:rPr>
        <w:t>• Grucce appendiabiti</w:t>
      </w:r>
    </w:p>
    <w:p w14:paraId="0DF21C99" w14:textId="77777777" w:rsidR="00D15622" w:rsidRDefault="00000000">
      <w:pPr>
        <w:ind w:left="567" w:right="758"/>
        <w:rPr>
          <w:sz w:val="24"/>
          <w:szCs w:val="24"/>
        </w:rPr>
      </w:pPr>
      <w:r>
        <w:rPr>
          <w:sz w:val="24"/>
          <w:szCs w:val="24"/>
        </w:rPr>
        <w:t>• Giochi per parchi</w:t>
      </w:r>
    </w:p>
    <w:p w14:paraId="1C3FBFA6" w14:textId="77777777" w:rsidR="00D15622" w:rsidRDefault="00D15622">
      <w:pPr>
        <w:ind w:left="567" w:right="758"/>
        <w:rPr>
          <w:sz w:val="24"/>
          <w:szCs w:val="24"/>
        </w:rPr>
      </w:pPr>
    </w:p>
    <w:p w14:paraId="54A80CC5" w14:textId="77777777" w:rsidR="00D15622" w:rsidRDefault="00000000">
      <w:pPr>
        <w:ind w:left="567" w:right="758"/>
        <w:rPr>
          <w:b/>
          <w:sz w:val="28"/>
          <w:szCs w:val="28"/>
        </w:rPr>
      </w:pPr>
      <w:r>
        <w:rPr>
          <w:b/>
          <w:sz w:val="28"/>
          <w:szCs w:val="28"/>
        </w:rPr>
        <w:t>Risultati e Prospettive</w:t>
      </w:r>
    </w:p>
    <w:p w14:paraId="4DFED25F" w14:textId="77777777" w:rsidR="00D15622" w:rsidRDefault="00000000">
      <w:pPr>
        <w:tabs>
          <w:tab w:val="left" w:pos="567"/>
        </w:tabs>
        <w:ind w:left="567" w:right="758"/>
        <w:rPr>
          <w:sz w:val="24"/>
          <w:szCs w:val="24"/>
        </w:rPr>
      </w:pPr>
      <w:r>
        <w:rPr>
          <w:sz w:val="24"/>
          <w:szCs w:val="24"/>
        </w:rPr>
        <w:t>• Tecnologia validata su impianto dimostrativo</w:t>
      </w:r>
    </w:p>
    <w:p w14:paraId="43D95EC7" w14:textId="77777777" w:rsidR="00D15622" w:rsidRDefault="00000000">
      <w:pPr>
        <w:tabs>
          <w:tab w:val="left" w:pos="567"/>
        </w:tabs>
        <w:ind w:left="567" w:right="758"/>
        <w:rPr>
          <w:sz w:val="24"/>
          <w:szCs w:val="24"/>
        </w:rPr>
      </w:pPr>
      <w:r>
        <w:rPr>
          <w:sz w:val="24"/>
          <w:szCs w:val="24"/>
        </w:rPr>
        <w:t>• Primo brevetto concesso</w:t>
      </w:r>
      <w:r>
        <w:rPr>
          <w:sz w:val="24"/>
          <w:szCs w:val="24"/>
        </w:rPr>
        <w:br/>
        <w:t>• Primo aumento di capitale da 1,7 milioni di euro completato a ottobre 2024, guidato da Tech4Planet (Cassa Depositi e Prestiti Venture Capital) e MITO Tech Ventures</w:t>
      </w:r>
    </w:p>
    <w:p w14:paraId="0515D116" w14:textId="77777777" w:rsidR="00D15622" w:rsidRDefault="00000000">
      <w:pPr>
        <w:tabs>
          <w:tab w:val="left" w:pos="567"/>
        </w:tabs>
        <w:ind w:left="567" w:right="758"/>
        <w:rPr>
          <w:sz w:val="24"/>
          <w:szCs w:val="24"/>
        </w:rPr>
      </w:pPr>
      <w:r>
        <w:rPr>
          <w:sz w:val="24"/>
          <w:szCs w:val="24"/>
        </w:rPr>
        <w:t>• marzo 2025 aggiudicazione gara Capannori (LU) per la realizzazione di un impianto di riciclo PAP nell’ambito del PNRR. i-Foria Italia fornirà la tecnologia</w:t>
      </w:r>
    </w:p>
    <w:p w14:paraId="3102F5D6" w14:textId="77777777" w:rsidR="00D15622" w:rsidRDefault="00000000">
      <w:pPr>
        <w:tabs>
          <w:tab w:val="left" w:pos="567"/>
        </w:tabs>
        <w:ind w:left="567" w:right="758"/>
        <w:rPr>
          <w:sz w:val="24"/>
          <w:szCs w:val="24"/>
        </w:rPr>
      </w:pPr>
      <w:r>
        <w:rPr>
          <w:sz w:val="24"/>
          <w:szCs w:val="24"/>
        </w:rPr>
        <w:t>• aprile 2025 – Pubblicata manifestazione interesse Contarina per la realizzazione di un impianto di riciclo PAP nell’ambito del PNRR</w:t>
      </w:r>
    </w:p>
    <w:p w14:paraId="599DD919" w14:textId="77777777" w:rsidR="00D15622" w:rsidRDefault="00000000">
      <w:pPr>
        <w:tabs>
          <w:tab w:val="left" w:pos="567"/>
        </w:tabs>
        <w:ind w:left="567" w:right="758"/>
        <w:rPr>
          <w:sz w:val="24"/>
          <w:szCs w:val="24"/>
        </w:rPr>
      </w:pPr>
      <w:r>
        <w:rPr>
          <w:sz w:val="24"/>
          <w:szCs w:val="24"/>
        </w:rPr>
        <w:t xml:space="preserve">• giugno 2025 – Bandita gara Regione Umbria impianto Gesenu Perugia per la realizzazione di un impianto di riciclo PAP nell’ambito del PNRR. </w:t>
      </w:r>
    </w:p>
    <w:p w14:paraId="179E836E" w14:textId="77777777" w:rsidR="00D15622" w:rsidRDefault="00000000">
      <w:pPr>
        <w:tabs>
          <w:tab w:val="left" w:pos="567"/>
        </w:tabs>
        <w:ind w:left="567" w:right="758"/>
      </w:pPr>
      <w:r>
        <w:rPr>
          <w:sz w:val="24"/>
          <w:szCs w:val="24"/>
        </w:rPr>
        <w:br/>
      </w:r>
    </w:p>
    <w:p w14:paraId="3724C34A" w14:textId="77777777" w:rsidR="00D15622" w:rsidRDefault="00D15622">
      <w:pPr>
        <w:pBdr>
          <w:top w:val="nil"/>
          <w:left w:val="nil"/>
          <w:bottom w:val="nil"/>
          <w:right w:val="nil"/>
          <w:between w:val="nil"/>
        </w:pBdr>
        <w:spacing w:before="11"/>
        <w:ind w:left="284" w:right="333"/>
        <w:jc w:val="both"/>
        <w:rPr>
          <w:rFonts w:ascii="Aptos" w:eastAsia="Aptos" w:hAnsi="Aptos" w:cs="Aptos"/>
          <w:color w:val="000000"/>
        </w:rPr>
      </w:pPr>
    </w:p>
    <w:sectPr w:rsidR="00D15622">
      <w:headerReference w:type="default" r:id="rId7"/>
      <w:footerReference w:type="default" r:id="rId8"/>
      <w:pgSz w:w="11900" w:h="16840"/>
      <w:pgMar w:top="1622" w:right="601" w:bottom="1758" w:left="618" w:header="743" w:footer="1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CF5C" w14:textId="77777777" w:rsidR="00BE4669" w:rsidRDefault="00BE4669">
      <w:r>
        <w:separator/>
      </w:r>
    </w:p>
  </w:endnote>
  <w:endnote w:type="continuationSeparator" w:id="0">
    <w:p w14:paraId="202A663A" w14:textId="77777777" w:rsidR="00BE4669" w:rsidRDefault="00BE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540F" w14:textId="77777777" w:rsidR="00D15622"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2C3FB335" wp14:editId="22CAB027">
              <wp:simplePos x="0" y="0"/>
              <wp:positionH relativeFrom="column">
                <wp:posOffset>787400</wp:posOffset>
              </wp:positionH>
              <wp:positionV relativeFrom="paragraph">
                <wp:posOffset>622300</wp:posOffset>
              </wp:positionV>
              <wp:extent cx="6328410" cy="723900"/>
              <wp:effectExtent l="0" t="0" r="0" b="0"/>
              <wp:wrapNone/>
              <wp:docPr id="9" name="Rettangolo 9"/>
              <wp:cNvGraphicFramePr/>
              <a:graphic xmlns:a="http://schemas.openxmlformats.org/drawingml/2006/main">
                <a:graphicData uri="http://schemas.microsoft.com/office/word/2010/wordprocessingShape">
                  <wps:wsp>
                    <wps:cNvSpPr/>
                    <wps:spPr>
                      <a:xfrm>
                        <a:off x="2191320" y="3427575"/>
                        <a:ext cx="6309360" cy="704850"/>
                      </a:xfrm>
                      <a:prstGeom prst="rect">
                        <a:avLst/>
                      </a:prstGeom>
                      <a:noFill/>
                      <a:ln>
                        <a:noFill/>
                      </a:ln>
                    </wps:spPr>
                    <wps:txbx>
                      <w:txbxContent>
                        <w:p w14:paraId="54D48EF9" w14:textId="77777777" w:rsidR="00D15622" w:rsidRDefault="00D15622">
                          <w:pPr>
                            <w:spacing w:before="12"/>
                            <w:ind w:left="1010" w:firstLine="103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787400</wp:posOffset>
              </wp:positionH>
              <wp:positionV relativeFrom="paragraph">
                <wp:posOffset>622300</wp:posOffset>
              </wp:positionV>
              <wp:extent cx="6328410" cy="723900"/>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28410" cy="7239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6814" w14:textId="77777777" w:rsidR="00BE4669" w:rsidRDefault="00BE4669">
      <w:r>
        <w:separator/>
      </w:r>
    </w:p>
  </w:footnote>
  <w:footnote w:type="continuationSeparator" w:id="0">
    <w:p w14:paraId="5CEAEEDC" w14:textId="77777777" w:rsidR="00BE4669" w:rsidRDefault="00BE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B335" w14:textId="77777777" w:rsidR="00D15622"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33BACE8B" wp14:editId="20926BD6">
          <wp:simplePos x="0" y="0"/>
          <wp:positionH relativeFrom="page">
            <wp:posOffset>2727357</wp:posOffset>
          </wp:positionH>
          <wp:positionV relativeFrom="page">
            <wp:posOffset>471789</wp:posOffset>
          </wp:positionV>
          <wp:extent cx="1933138" cy="46336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3138" cy="46336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22"/>
    <w:rsid w:val="00BE4669"/>
    <w:rsid w:val="00D15622"/>
    <w:rsid w:val="00E06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908D"/>
  <w15:docId w15:val="{E7373E97-9609-4FA4-B495-93E3CDE9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00"/>
      <w:outlineLvl w:val="0"/>
    </w:pPr>
    <w:rPr>
      <w:b/>
      <w:i/>
      <w:sz w:val="24"/>
      <w:szCs w:val="24"/>
      <w:u w:val="single"/>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C028E"/>
    <w:pPr>
      <w:tabs>
        <w:tab w:val="center" w:pos="4819"/>
        <w:tab w:val="right" w:pos="9638"/>
      </w:tabs>
    </w:pPr>
  </w:style>
  <w:style w:type="character" w:customStyle="1" w:styleId="IntestazioneCarattere">
    <w:name w:val="Intestazione Carattere"/>
    <w:basedOn w:val="Carpredefinitoparagrafo"/>
    <w:link w:val="Intestazione"/>
    <w:uiPriority w:val="99"/>
    <w:rsid w:val="005C028E"/>
  </w:style>
  <w:style w:type="paragraph" w:styleId="Pidipagina">
    <w:name w:val="footer"/>
    <w:basedOn w:val="Normale"/>
    <w:link w:val="PidipaginaCarattere"/>
    <w:uiPriority w:val="99"/>
    <w:unhideWhenUsed/>
    <w:rsid w:val="005C028E"/>
    <w:pPr>
      <w:tabs>
        <w:tab w:val="center" w:pos="4819"/>
        <w:tab w:val="right" w:pos="9638"/>
      </w:tabs>
    </w:pPr>
  </w:style>
  <w:style w:type="character" w:customStyle="1" w:styleId="PidipaginaCarattere">
    <w:name w:val="Piè di pagina Carattere"/>
    <w:basedOn w:val="Carpredefinitoparagrafo"/>
    <w:link w:val="Pidipagina"/>
    <w:uiPriority w:val="99"/>
    <w:rsid w:val="005C028E"/>
  </w:style>
  <w:style w:type="paragraph" w:styleId="Paragrafoelenco">
    <w:name w:val="List Paragraph"/>
    <w:basedOn w:val="Normale"/>
    <w:uiPriority w:val="34"/>
    <w:qFormat/>
    <w:rsid w:val="00B905AE"/>
    <w:pPr>
      <w:widowControl/>
      <w:spacing w:after="200" w:line="276" w:lineRule="auto"/>
      <w:ind w:left="720"/>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VI4ge9t6CyD3HnUCymYCaD+Nw==">CgMxLjA4AGopChRzdWdnZXN0LjhiY2hmeTFiamoxZhIRR2l1c2VwcGUgTGFuZG9sZm9qKQoUc3VnZ2VzdC5jYzd3c3h5eWQ1NzcSEUdpdXNlcHBlIExhbmRvbGZvaikKFHN1Z2dlc3Qubm13cDlkZHo1dnIyEhFHaXVzZXBwZSBMYW5kb2xmb2opChRzdWdnZXN0Ljhkc3MxZW9tZHl4chIRR2l1c2VwcGUgTGFuZG9sZm9qKQoUc3VnZ2VzdC4yY2EzaXptdTgxeWUSEUdpdXNlcHBlIExhbmRvbGZvciExUXcxeHNBcTE2V3FRM0k2SGVVN2VXY25rM01uYXRkN0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40D6D0CBE15AFD438C5554FA9ECD1D96" ma:contentTypeVersion="20" ma:contentTypeDescription="Creare un nuovo documento." ma:contentTypeScope="" ma:versionID="25a79a220c52b0848d7b7497b569ae58">
  <xsd:schema xmlns:xsd="http://www.w3.org/2001/XMLSchema" xmlns:xs="http://www.w3.org/2001/XMLSchema" xmlns:p="http://schemas.microsoft.com/office/2006/metadata/properties" xmlns:ns2="c2a5a23a-d370-4ef1-9af0-4eba04039de5" xmlns:ns3="3581da5e-faca-42a3-aae8-131400fb6b6f" targetNamespace="http://schemas.microsoft.com/office/2006/metadata/properties" ma:root="true" ma:fieldsID="cd4df4bee51d6b5dfecece384ac90625" ns2:_="" ns3:_="">
    <xsd:import namespace="c2a5a23a-d370-4ef1-9af0-4eba04039de5"/>
    <xsd:import namespace="3581da5e-faca-42a3-aae8-131400fb6b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5a23a-d370-4ef1-9af0-4eba04039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41d4178-3f76-4a44-92c2-a5b5f40a3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1da5e-faca-42a3-aae8-131400fb6b6f"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984eaa7-0b99-4c6a-b4c9-a71e4529e348}" ma:internalName="TaxCatchAll" ma:showField="CatchAllData" ma:web="3581da5e-faca-42a3-aae8-131400fb6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1da5e-faca-42a3-aae8-131400fb6b6f" xsi:nil="true"/>
    <lcf76f155ced4ddcb4097134ff3c332f xmlns="c2a5a23a-d370-4ef1-9af0-4eba04039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952E46-95E2-4440-A9EA-3922CFFC2FFA}"/>
</file>

<file path=customXml/itemProps3.xml><?xml version="1.0" encoding="utf-8"?>
<ds:datastoreItem xmlns:ds="http://schemas.openxmlformats.org/officeDocument/2006/customXml" ds:itemID="{ECE826F3-2CDA-4954-8B7A-FD57D68A785F}"/>
</file>

<file path=customXml/itemProps4.xml><?xml version="1.0" encoding="utf-8"?>
<ds:datastoreItem xmlns:ds="http://schemas.openxmlformats.org/officeDocument/2006/customXml" ds:itemID="{33397418-6F3B-4AC8-AD79-5B115AE1541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Valentina Melillo</cp:lastModifiedBy>
  <cp:revision>2</cp:revision>
  <dcterms:created xsi:type="dcterms:W3CDTF">2025-06-13T10:28:00Z</dcterms:created>
  <dcterms:modified xsi:type="dcterms:W3CDTF">2025-06-13T10:28:00Z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0x01010040D6D0CBE15AFD438C5554FA9ECD1D96</vt:lpwstr>
  </property>
</Properties>
</file>